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5256E3">
        <w:rPr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"Сузановская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256E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5256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5256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5256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>заседание педагогического совета</w:t>
            </w:r>
          </w:p>
          <w:p w:rsidR="006E1004" w:rsidRPr="005256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 xml:space="preserve">председатель </w:t>
            </w:r>
          </w:p>
          <w:p w:rsidR="006E1004" w:rsidRPr="005256E3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>Семенко Кристина Александровна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6E1004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256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256E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5256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>совет школы</w:t>
            </w:r>
          </w:p>
          <w:p w:rsidR="007B5622" w:rsidRPr="005256E3" w:rsidRDefault="0004589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Протасова Елена Викторовна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256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5256E3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5256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5256E3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256E3">
              <w:rPr>
                <w:rFonts w:asciiTheme="majorBidi" w:hAnsiTheme="majorBidi" w:cstheme="majorBidi"/>
                <w:sz w:val="24"/>
                <w:szCs w:val="24"/>
              </w:rPr>
              <w:t>Семенко Кристина Александровна</w:t>
            </w:r>
          </w:p>
          <w:p w:rsidR="007B5622" w:rsidRPr="000C3499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0C3499">
              <w:rPr>
                <w:rFonts w:asciiTheme="majorBidi" w:hAnsiTheme="majorBidi" w:cstheme="majorBidi"/>
                <w:sz w:val="24"/>
                <w:szCs w:val="24"/>
              </w:rPr>
              <w:t xml:space="preserve"> 42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0C3499">
              <w:rPr>
                <w:rFonts w:asciiTheme="majorBidi" w:hAnsiTheme="majorBidi" w:cstheme="majorBidi"/>
                <w:sz w:val="24"/>
                <w:szCs w:val="24"/>
              </w:rPr>
              <w:t>02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</w:t>
            </w:r>
            <w:r w:rsidR="000C3499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5256E3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5256E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5256E3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Новосергиевский муниципальный район,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5256E3">
        <w:rPr>
          <w:rFonts w:asciiTheme="majorBidi" w:hAnsiTheme="majorBidi" w:cstheme="majorBidi"/>
          <w:sz w:val="28"/>
          <w:szCs w:val="28"/>
        </w:rPr>
        <w:t>2024</w:t>
      </w:r>
    </w:p>
    <w:p w:rsidR="0030678A" w:rsidRPr="006E1004" w:rsidRDefault="00F93659" w:rsidP="008D7CCA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бюджетное учреждение "Сузановская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"Сузановская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8D7CCA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"Сузановская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Default="00F23C59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Учебный план программы основного общего образования МОБУ «Сузановская СОШ»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учебной неделе, предусмотренными санитарно-эпидемиологическими требованиями 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C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П 2.4.3648-20 и гигиеническими нормативами и требованиями </w:t>
      </w:r>
      <w:proofErr w:type="spell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СанПиН</w:t>
      </w:r>
      <w:proofErr w:type="spell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1.2.3685-21, перечень учебных предметов, учебных курсов, учебных модулей.</w:t>
      </w:r>
    </w:p>
    <w:p w:rsidR="005256E3" w:rsidRDefault="00F63924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В соответствии с ФГОС ООО</w:t>
      </w:r>
      <w:r w:rsidR="005256E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определены следующие обязательные предметные области и учебные предметы, которые должны быть реализованы в урочной деятельности в 5-9 классах: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Русский язык и литература (Русский язык, Литература);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Иностранные языки (</w:t>
      </w:r>
      <w:proofErr w:type="gramStart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немецкий</w:t>
      </w:r>
      <w:proofErr w:type="gramEnd"/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Математика и информатика (Математика, Информатика, Алгебра, Геометрия, Вероятность и Статистика);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Общественно-научные предметы (История, Обществознание, География);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Естественнонаучные предметы (Физика, Биология, Химия);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Искусство (Изобразительное искусство, Музыка);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Технология</w:t>
      </w:r>
      <w:r w:rsidR="00F63924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(Труд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(Технология)</w:t>
      </w:r>
      <w:r w:rsidR="00F63924">
        <w:rPr>
          <w:rStyle w:val="Zag11"/>
          <w:rFonts w:ascii="Times New Roman" w:eastAsia="@Arial Unicode MS" w:hAnsi="Times New Roman" w:cs="Times New Roman"/>
          <w:sz w:val="28"/>
          <w:szCs w:val="28"/>
        </w:rPr>
        <w:t>)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 - Физическая культура (Физическая культура), 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Основы безопасности и защиты Родины</w:t>
      </w:r>
      <w:r w:rsidRPr="005256E3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(Основы безопасности и защиты Родины);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- Основы духовно-нравственной культуры народов России (Основы духовно-нравственной культуры народов России);</w:t>
      </w:r>
    </w:p>
    <w:p w:rsidR="005256E3" w:rsidRDefault="005256E3" w:rsidP="008D7CCA">
      <w:pPr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Учебный предмет «Математика» предметной области «Математика и информатика» включает в себя учебные курсы «Алгебра», «Геометрия», «Вероятность и статистика».</w:t>
      </w:r>
    </w:p>
    <w:p w:rsidR="005256E3" w:rsidRPr="00CB110D" w:rsidRDefault="005256E3" w:rsidP="008D7CCA">
      <w:pPr>
        <w:spacing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>Достижение обучающимися планируемых результатов освоения программы основного общего образования по учебному предмету «Математика» в рамках государственной итоговой аттестации включает результаты освоения рабочих программ учебных курсов «Алгебра», «Геометрия», «Вероятность и статистика».</w:t>
      </w:r>
    </w:p>
    <w:p w:rsidR="00F23C59" w:rsidRPr="006E1004" w:rsidRDefault="00F23C59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CB110D">
        <w:rPr>
          <w:rStyle w:val="markedcontent"/>
          <w:rFonts w:asciiTheme="majorBidi" w:hAnsiTheme="majorBidi" w:cstheme="majorBidi"/>
          <w:b/>
          <w:sz w:val="28"/>
          <w:szCs w:val="28"/>
        </w:rPr>
        <w:t>Часть учебного плана,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CB110D">
        <w:rPr>
          <w:rStyle w:val="markedcontent"/>
          <w:rFonts w:asciiTheme="majorBidi" w:hAnsiTheme="majorBidi" w:cstheme="majorBidi"/>
          <w:b/>
          <w:sz w:val="28"/>
          <w:szCs w:val="28"/>
        </w:rPr>
        <w:t>формируемая участниками образовательных отношений,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8D7CCA">
      <w:pPr>
        <w:spacing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бюджетное учреждение "Сузановская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CB110D" w:rsidRDefault="00CB110D" w:rsidP="008D7CCA">
      <w:pPr>
        <w:spacing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       Для образовательных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 и второго иностранного языка осуществляется при наличии возможностей образовательной организации и по заявлению родителей (законных представителей) несовершеннолетних обучающихся. В </w:t>
      </w:r>
      <w:r>
        <w:rPr>
          <w:rStyle w:val="Zag11"/>
          <w:rFonts w:ascii="Times New Roman" w:eastAsia="@Arial Unicode MS" w:hAnsi="Times New Roman" w:cs="Times New Roman"/>
          <w:sz w:val="28"/>
          <w:szCs w:val="28"/>
        </w:rPr>
        <w:lastRenderedPageBreak/>
        <w:t>2024-2025 учебном году в МОБУ «Сузановская СОШ» изучение родного языка и родной литературы в 5-9 классах не осуществляется, так как отсутствуют заявления родителей обучающихся, родителей (законных представителей) несовершеннолетних обучающихся. Изучение второго иностранного языка в 5-9 классах не осуществляется, так как отсутствуют заявления родителей (законных представителей) несовершеннолетних обучающихся и необходимые условия.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722D0" w:rsidRDefault="00CB110D" w:rsidP="008D7CCA">
      <w:pPr>
        <w:tabs>
          <w:tab w:val="left" w:pos="708"/>
        </w:tabs>
        <w:spacing w:line="240" w:lineRule="auto"/>
        <w:ind w:right="7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ar-SA"/>
        </w:rPr>
        <w:t>Курс «Информатика», направленный на обеспечение всеобщей компьютерной грамотности, изучается в 7-9 классах, в 5-6 классах в рамках кружка «Компьютерная графика» по 1 часу.</w:t>
      </w:r>
    </w:p>
    <w:p w:rsidR="00CB110D" w:rsidRPr="00E7071C" w:rsidRDefault="00CB110D" w:rsidP="008D7CC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Часть, формируемая участниками образовательных отношений в 5 - 9 классах основной школы в связи с внедрением обновленных ФГОС используется на увеличение количества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изучение отдельных предметов обязательной части учебного плана. </w:t>
      </w:r>
      <w:r w:rsidRPr="00E7071C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</w:t>
      </w:r>
      <w:r w:rsidR="00F63924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используется</w:t>
      </w:r>
      <w:r w:rsidRPr="00E7071C">
        <w:rPr>
          <w:rStyle w:val="markedcontent"/>
          <w:rFonts w:ascii="Times New Roman" w:hAnsi="Times New Roman" w:cs="Times New Roman"/>
          <w:color w:val="000000"/>
          <w:sz w:val="28"/>
          <w:szCs w:val="28"/>
        </w:rPr>
        <w:t xml:space="preserve"> на проведение учебных занятий, обеспечивающих различные интересы обучающихся.</w:t>
      </w:r>
    </w:p>
    <w:p w:rsidR="00F63924" w:rsidRDefault="00F63924" w:rsidP="008D7CC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Предметная область</w:t>
      </w:r>
      <w:r w:rsidR="00CB110D">
        <w:rPr>
          <w:rFonts w:ascii="Times New Roman" w:hAnsi="Times New Roman" w:cs="Times New Roman"/>
          <w:sz w:val="28"/>
          <w:szCs w:val="28"/>
        </w:rPr>
        <w:t xml:space="preserve"> «Физическая культура» </w:t>
      </w:r>
      <w:r>
        <w:rPr>
          <w:rFonts w:ascii="Times New Roman" w:hAnsi="Times New Roman" w:cs="Times New Roman"/>
          <w:sz w:val="28"/>
          <w:szCs w:val="28"/>
        </w:rPr>
        <w:t>включает в себя изучение учебного предмета: физическая культура.</w:t>
      </w:r>
      <w:r w:rsidRPr="00F6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изучение предмета «Физическая культура» в 5,7 классах </w:t>
      </w:r>
      <w:r w:rsidR="009722D0">
        <w:rPr>
          <w:rFonts w:ascii="Times New Roman" w:hAnsi="Times New Roman" w:cs="Times New Roman"/>
          <w:sz w:val="28"/>
          <w:szCs w:val="28"/>
        </w:rPr>
        <w:t>дополняется</w:t>
      </w:r>
      <w:r>
        <w:rPr>
          <w:rFonts w:ascii="Times New Roman" w:hAnsi="Times New Roman" w:cs="Times New Roman"/>
          <w:sz w:val="28"/>
          <w:szCs w:val="28"/>
        </w:rPr>
        <w:t xml:space="preserve"> по 1 часу, 9 классе 0,5 часа за счет части, формируемой участниками образовательных отношений, третий час осуществляется за счет кружка «Волейбол».</w:t>
      </w:r>
    </w:p>
    <w:p w:rsidR="009722D0" w:rsidRPr="009722D0" w:rsidRDefault="00F63924" w:rsidP="009722D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Предметная область </w:t>
      </w:r>
      <w:r w:rsidR="00CB110D">
        <w:rPr>
          <w:sz w:val="28"/>
          <w:szCs w:val="28"/>
        </w:rPr>
        <w:t>«Основы безопасности и защиты Родины»</w:t>
      </w:r>
      <w:r>
        <w:rPr>
          <w:sz w:val="28"/>
          <w:szCs w:val="28"/>
        </w:rPr>
        <w:t xml:space="preserve"> включает в себя изучение </w:t>
      </w:r>
      <w:r w:rsidRPr="009722D0">
        <w:rPr>
          <w:sz w:val="28"/>
          <w:szCs w:val="28"/>
        </w:rPr>
        <w:t>учебного предмета</w:t>
      </w:r>
      <w:r w:rsidR="00CB110D" w:rsidRPr="009722D0">
        <w:rPr>
          <w:sz w:val="28"/>
          <w:szCs w:val="28"/>
        </w:rPr>
        <w:t xml:space="preserve"> ОБЗР. </w:t>
      </w:r>
      <w:r w:rsidR="009722D0" w:rsidRPr="009722D0">
        <w:rPr>
          <w:rStyle w:val="ad"/>
          <w:b w:val="0"/>
          <w:bCs w:val="0"/>
          <w:sz w:val="28"/>
          <w:szCs w:val="28"/>
        </w:rPr>
        <w:t>Цель изучения ОБЗР на уровне основного общего образования:</w:t>
      </w:r>
    </w:p>
    <w:p w:rsidR="009722D0" w:rsidRPr="009722D0" w:rsidRDefault="009722D0" w:rsidP="009722D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722D0">
        <w:rPr>
          <w:sz w:val="28"/>
          <w:szCs w:val="28"/>
        </w:rPr>
        <w:t xml:space="preserve">формирование у </w:t>
      </w:r>
      <w:proofErr w:type="gramStart"/>
      <w:r w:rsidRPr="009722D0">
        <w:rPr>
          <w:sz w:val="28"/>
          <w:szCs w:val="28"/>
        </w:rPr>
        <w:t>обучающихся</w:t>
      </w:r>
      <w:proofErr w:type="gramEnd"/>
      <w:r w:rsidRPr="009722D0">
        <w:rPr>
          <w:sz w:val="28"/>
          <w:szCs w:val="28"/>
        </w:rPr>
        <w:t xml:space="preserve"> готовности к выполнению обязанности по защите Отечества;</w:t>
      </w:r>
    </w:p>
    <w:p w:rsidR="009722D0" w:rsidRPr="009722D0" w:rsidRDefault="009722D0" w:rsidP="009722D0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9722D0">
        <w:rPr>
          <w:sz w:val="28"/>
          <w:szCs w:val="28"/>
        </w:rPr>
        <w:t>формирование базового уровня культуры безопасности жизнедеятельности в соответствии с современными потребностями личности, общества и государства.</w:t>
      </w:r>
    </w:p>
    <w:p w:rsidR="00CB110D" w:rsidRDefault="00CB110D" w:rsidP="008D7CC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ОБЗР вводится в 5-7 классах за счет части, формируемой участниками образовательных отношений. </w:t>
      </w:r>
    </w:p>
    <w:p w:rsidR="00CB110D" w:rsidRDefault="00CB110D" w:rsidP="008D7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реализации краеведческой направленности в образовательные програ</w:t>
      </w:r>
      <w:r w:rsidR="009722D0">
        <w:rPr>
          <w:rFonts w:ascii="Times New Roman" w:hAnsi="Times New Roman" w:cs="Times New Roman"/>
          <w:sz w:val="28"/>
          <w:szCs w:val="28"/>
        </w:rPr>
        <w:t>ммы по биологии, географии в 5-9</w:t>
      </w:r>
      <w:r>
        <w:rPr>
          <w:rFonts w:ascii="Times New Roman" w:hAnsi="Times New Roman" w:cs="Times New Roman"/>
          <w:sz w:val="28"/>
          <w:szCs w:val="28"/>
        </w:rPr>
        <w:t xml:space="preserve"> классах, истории в </w:t>
      </w:r>
      <w:r w:rsidR="009722D0">
        <w:rPr>
          <w:rFonts w:ascii="Times New Roman" w:hAnsi="Times New Roman" w:cs="Times New Roman"/>
          <w:sz w:val="28"/>
          <w:szCs w:val="28"/>
        </w:rPr>
        <w:t>5-7 классах</w:t>
      </w:r>
      <w:r>
        <w:rPr>
          <w:rFonts w:ascii="Times New Roman" w:hAnsi="Times New Roman" w:cs="Times New Roman"/>
          <w:sz w:val="28"/>
          <w:szCs w:val="28"/>
        </w:rPr>
        <w:t xml:space="preserve"> внесены </w:t>
      </w:r>
      <w:r>
        <w:rPr>
          <w:rFonts w:ascii="Times New Roman" w:hAnsi="Times New Roman" w:cs="Times New Roman"/>
          <w:sz w:val="28"/>
          <w:szCs w:val="28"/>
          <w:lang w:eastAsia="ar-SA"/>
        </w:rPr>
        <w:t>краеведческие модули в рамках соответствующих учебных предметов федерального компонента.</w:t>
      </w:r>
    </w:p>
    <w:p w:rsidR="009722D0" w:rsidRDefault="009722D0" w:rsidP="008D7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Предпрофильная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подготовка обучающихся на уровне основного общего образования осуществляется в рамках внеурочной деятельности «Россия – мои горизонты»</w:t>
      </w:r>
      <w:proofErr w:type="gramEnd"/>
    </w:p>
    <w:p w:rsidR="00CB110D" w:rsidRDefault="00CB110D" w:rsidP="008D7CCA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Zag11"/>
          <w:rFonts w:ascii="Times New Roman" w:eastAsia="@Arial Unicode MS" w:hAnsi="Times New Roman" w:cs="Times New Roman"/>
          <w:sz w:val="28"/>
          <w:szCs w:val="28"/>
          <w:lang w:eastAsia="ar-SA"/>
        </w:rPr>
        <w:t xml:space="preserve"> В 8 классе в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части, формируемой участниками образовательных отношений вводится курс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историческое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краеведения, который формирует практические и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интеллектуальные умения у обучающихся и развивает познавательные интересы. Для планомерной подготовки обучающихся к итоговому собеседованию и ОГЭ по русскому языку в 8 классе из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части, формируемой участниками образовательных отношений 1 час выделяется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на элективный курс по русскому языку «Читаем, пишем, говорим».</w:t>
      </w:r>
    </w:p>
    <w:p w:rsidR="00CB110D" w:rsidRPr="00E7071C" w:rsidRDefault="00CB110D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8D7CCA" w:rsidRPr="00BA255F" w:rsidRDefault="00CB110D" w:rsidP="008D7CCA">
      <w:pPr>
        <w:spacing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  <w:r w:rsidR="008D7CCA" w:rsidRPr="008D7C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D7CC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8D7CCA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8D7CCA" w:rsidRPr="004168CD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="008D7CCA" w:rsidRPr="006E1004">
        <w:rPr>
          <w:rStyle w:val="markedcontent"/>
          <w:rFonts w:asciiTheme="majorBidi" w:hAnsiTheme="majorBidi" w:cstheme="majorBidi"/>
        </w:rPr>
        <w:t xml:space="preserve"> </w:t>
      </w:r>
      <w:r w:rsidR="008D7CCA"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="008D7CCA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B110D" w:rsidRPr="00E7071C" w:rsidRDefault="008D7CCA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</w:p>
    <w:p w:rsidR="008D7CCA" w:rsidRPr="00E7071C" w:rsidRDefault="00CB110D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обучающихся в переводных классах проводится ежегодно в конце учебного года.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7CCA"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8D7CCA">
        <w:rPr>
          <w:rStyle w:val="markedcontent"/>
          <w:rFonts w:ascii="Times New Roman" w:hAnsi="Times New Roman" w:cs="Times New Roman"/>
          <w:sz w:val="28"/>
          <w:szCs w:val="28"/>
        </w:rPr>
        <w:t xml:space="preserve">формах, периодичности и порядке </w:t>
      </w:r>
      <w:r w:rsidR="008D7CCA"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текущего контроля успеваемости и промежуточной </w:t>
      </w:r>
      <w:proofErr w:type="gramStart"/>
      <w:r w:rsidR="008D7CCA" w:rsidRPr="00E7071C">
        <w:rPr>
          <w:rStyle w:val="markedcontent"/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8D7CCA"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Муниципальное общеобразовательное бюджетное учреждение "Сузановская средняя общеобразовательная школа". </w:t>
      </w:r>
    </w:p>
    <w:p w:rsidR="00CB110D" w:rsidRDefault="00CB110D" w:rsidP="008D7CCA">
      <w:pPr>
        <w:tabs>
          <w:tab w:val="left" w:pos="70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10D" w:rsidRDefault="00CB110D" w:rsidP="008D7C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Сроки проведения промежуто</w:t>
      </w:r>
      <w:r w:rsidR="008D7CCA">
        <w:rPr>
          <w:rFonts w:ascii="Times New Roman" w:eastAsia="Calibri" w:hAnsi="Times New Roman" w:cs="Times New Roman"/>
          <w:b/>
          <w:sz w:val="28"/>
          <w:szCs w:val="28"/>
        </w:rPr>
        <w:t>чной аттестации 14.04.2025-26.05.2025</w:t>
      </w:r>
    </w:p>
    <w:p w:rsidR="00CB110D" w:rsidRDefault="00CB110D" w:rsidP="008D7C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Формы промежуточной аттестации</w:t>
      </w:r>
    </w:p>
    <w:p w:rsidR="00CB110D" w:rsidRDefault="00CB110D" w:rsidP="00CB110D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19" w:type="dxa"/>
        <w:jc w:val="center"/>
        <w:tblLayout w:type="fixed"/>
        <w:tblLook w:val="0000"/>
      </w:tblPr>
      <w:tblGrid>
        <w:gridCol w:w="1809"/>
        <w:gridCol w:w="1591"/>
        <w:gridCol w:w="1591"/>
        <w:gridCol w:w="1591"/>
        <w:gridCol w:w="1951"/>
        <w:gridCol w:w="1686"/>
      </w:tblGrid>
      <w:tr w:rsidR="00CB110D" w:rsidTr="008D7CCA">
        <w:trPr>
          <w:trHeight w:val="56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 предметы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8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CB110D" w:rsidTr="008D7CCA">
        <w:trPr>
          <w:trHeight w:val="56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B110D" w:rsidTr="008D7CCA">
        <w:trPr>
          <w:trHeight w:val="33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CB110D" w:rsidTr="008D7CCA">
        <w:trPr>
          <w:trHeight w:val="213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CB110D" w:rsidTr="008D7CCA">
        <w:trPr>
          <w:trHeight w:val="36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Итоговая контрольная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Итоговая контрольная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Геометрия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зачет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 зачет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</w:tr>
      <w:tr w:rsidR="00CB110D" w:rsidTr="008D7CCA">
        <w:trPr>
          <w:trHeight w:val="154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110D" w:rsidTr="008D7CCA">
        <w:trPr>
          <w:trHeight w:val="40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402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319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CB110D" w:rsidTr="008D7CCA">
        <w:trPr>
          <w:trHeight w:val="23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23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</w:t>
            </w:r>
          </w:p>
        </w:tc>
      </w:tr>
      <w:tr w:rsidR="00CB110D" w:rsidTr="008D7CCA">
        <w:trPr>
          <w:trHeight w:val="23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CB110D" w:rsidTr="008D7CCA">
        <w:trPr>
          <w:trHeight w:val="25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0D" w:rsidTr="008D7CCA">
        <w:trPr>
          <w:trHeight w:val="215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B110D" w:rsidTr="008D7CCA">
        <w:trPr>
          <w:trHeight w:val="3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9722D0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Труд (</w:t>
            </w:r>
            <w:r w:rsidR="00CB110D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проект</w:t>
            </w:r>
          </w:p>
        </w:tc>
      </w:tr>
      <w:tr w:rsidR="00CB110D" w:rsidTr="008D7CCA">
        <w:trPr>
          <w:trHeight w:val="3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8D7CCA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8D7CCA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тестирование</w:t>
            </w:r>
          </w:p>
        </w:tc>
      </w:tr>
      <w:tr w:rsidR="00CB110D" w:rsidTr="008D7CCA">
        <w:trPr>
          <w:trHeight w:val="500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зачет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 зачет</w:t>
            </w:r>
          </w:p>
        </w:tc>
      </w:tr>
      <w:tr w:rsidR="00CB110D" w:rsidTr="008D7CCA">
        <w:trPr>
          <w:trHeight w:val="3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Историческое Краеведение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работа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10D" w:rsidRDefault="00CB110D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D7CCA" w:rsidTr="008D7CCA">
        <w:trPr>
          <w:trHeight w:val="301"/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Элективный курс «Читаем, пишем, говорим»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собеседование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CCA" w:rsidRDefault="008D7CCA" w:rsidP="001B45F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D7CCA" w:rsidRDefault="008D7CCA" w:rsidP="008D7C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аудиторной работы обучающихся за пять учебных лет данного учебного плана составляет 5338 академических часов в соответствии с требованиями к организации образовательного процесса к учебной нагрузке при 5-дневной учебной неделе, предусмотренными санитарно-эпидемиологическими требованиями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 2.4.3648-20 и гигиеническими нормативами и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8D7CCA" w:rsidRPr="00CB110D" w:rsidRDefault="008D7CCA" w:rsidP="008D7CCA">
      <w:pPr>
        <w:pStyle w:val="ac"/>
        <w:ind w:firstLine="567"/>
        <w:jc w:val="both"/>
        <w:rPr>
          <w:rStyle w:val="markedcontent"/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Суммарный объём домашнего задания по всем предметам для каждого класса не должен превышать продолжительности выполнения 2 часа — для 5 класса, 2,5 часа — для 6—8 классов, 3,5 часа — для 9—11 классов.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нормами.</w:t>
      </w:r>
    </w:p>
    <w:p w:rsidR="00CB110D" w:rsidRPr="00E7071C" w:rsidRDefault="00CB110D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8D7CCA" w:rsidRDefault="00CB110D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7071C">
        <w:rPr>
          <w:rStyle w:val="markedcontent"/>
          <w:rFonts w:ascii="Times New Roman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</w:t>
      </w:r>
      <w:r w:rsidR="008D7CCA">
        <w:rPr>
          <w:rStyle w:val="markedcontent"/>
          <w:rFonts w:ascii="Times New Roman" w:hAnsi="Times New Roman" w:cs="Times New Roman"/>
          <w:sz w:val="28"/>
          <w:szCs w:val="28"/>
        </w:rPr>
        <w:t>го образования составляет 5 лет.</w:t>
      </w:r>
    </w:p>
    <w:p w:rsidR="008D7CCA" w:rsidRPr="00E7071C" w:rsidRDefault="008D7CCA" w:rsidP="008D7CCA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8D7CCA" w:rsidRPr="00E7071C">
          <w:pgSz w:w="11906" w:h="16838"/>
          <w:pgMar w:top="1134" w:right="850" w:bottom="1134" w:left="1134" w:header="0" w:footer="0" w:gutter="0"/>
          <w:cols w:space="720"/>
          <w:formProt w:val="0"/>
          <w:docGrid w:linePitch="360" w:charSpace="4096"/>
        </w:sect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D7C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4992" w:type="dxa"/>
        <w:tblLayout w:type="fixed"/>
        <w:tblLook w:val="04A0"/>
      </w:tblPr>
      <w:tblGrid>
        <w:gridCol w:w="3652"/>
        <w:gridCol w:w="4394"/>
        <w:gridCol w:w="1333"/>
        <w:gridCol w:w="1393"/>
        <w:gridCol w:w="1393"/>
        <w:gridCol w:w="1393"/>
        <w:gridCol w:w="1434"/>
      </w:tblGrid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</w:tr>
      <w:tr w:rsidR="00E77667" w:rsidRPr="008D7CCA" w:rsidTr="008D7CCA">
        <w:tc>
          <w:tcPr>
            <w:tcW w:w="14992" w:type="dxa"/>
            <w:gridSpan w:val="7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67" w:rsidRPr="008D7CCA" w:rsidTr="008D7CCA">
        <w:tc>
          <w:tcPr>
            <w:tcW w:w="3652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8D7C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D7CCA" w:rsidRPr="008D7CCA">
              <w:rPr>
                <w:rFonts w:ascii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7667" w:rsidRPr="008D7CCA" w:rsidTr="008D7CCA">
        <w:tc>
          <w:tcPr>
            <w:tcW w:w="3652" w:type="dxa"/>
            <w:vMerge w:val="restart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3652" w:type="dxa"/>
            <w:vMerge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3652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67" w:rsidRPr="008D7CCA" w:rsidTr="008D7CCA">
        <w:tc>
          <w:tcPr>
            <w:tcW w:w="3652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E77667" w:rsidRPr="008D7CCA" w:rsidTr="008D7CCA">
        <w:tc>
          <w:tcPr>
            <w:tcW w:w="3652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7667" w:rsidRPr="008D7CCA" w:rsidTr="008D7CCA">
        <w:tc>
          <w:tcPr>
            <w:tcW w:w="3652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394" w:type="dxa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77667" w:rsidRPr="008D7CCA" w:rsidTr="008D7CCA">
        <w:tc>
          <w:tcPr>
            <w:tcW w:w="14992" w:type="dxa"/>
            <w:gridSpan w:val="7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E77667" w:rsidRPr="008D7CCA" w:rsidRDefault="00E7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Элективный курс "Читаем</w:t>
            </w:r>
            <w:proofErr w:type="gramStart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ишем, говорим"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77667" w:rsidRPr="008D7CCA" w:rsidTr="008D7CCA">
        <w:tc>
          <w:tcPr>
            <w:tcW w:w="8046" w:type="dxa"/>
            <w:gridSpan w:val="2"/>
            <w:shd w:val="clear" w:color="auto" w:fill="auto"/>
          </w:tcPr>
          <w:p w:rsidR="00E77667" w:rsidRPr="008D7CCA" w:rsidRDefault="00ED7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3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93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434" w:type="dxa"/>
            <w:shd w:val="clear" w:color="auto" w:fill="auto"/>
          </w:tcPr>
          <w:p w:rsidR="00E77667" w:rsidRPr="008D7CCA" w:rsidRDefault="00ED7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CCA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ED70FF" w:rsidRDefault="00ED70FF"/>
    <w:sectPr w:rsidR="00ED70FF" w:rsidSect="008D7CCA">
      <w:pgSz w:w="16820" w:h="11900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39A2CCB"/>
    <w:multiLevelType w:val="multilevel"/>
    <w:tmpl w:val="59602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4589D"/>
    <w:rsid w:val="00052FF9"/>
    <w:rsid w:val="000A07A9"/>
    <w:rsid w:val="000C3476"/>
    <w:rsid w:val="000C3499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30AC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56E3"/>
    <w:rsid w:val="00541265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D7CCA"/>
    <w:rsid w:val="008E0553"/>
    <w:rsid w:val="00943325"/>
    <w:rsid w:val="00963708"/>
    <w:rsid w:val="009722D0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D2E7D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110D"/>
    <w:rsid w:val="00CB38C8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77667"/>
    <w:rsid w:val="00E831EA"/>
    <w:rsid w:val="00E8602F"/>
    <w:rsid w:val="00EA1496"/>
    <w:rsid w:val="00ED0A65"/>
    <w:rsid w:val="00ED70FF"/>
    <w:rsid w:val="00EE0C26"/>
    <w:rsid w:val="00F22BB1"/>
    <w:rsid w:val="00F23C59"/>
    <w:rsid w:val="00F35982"/>
    <w:rsid w:val="00F41C65"/>
    <w:rsid w:val="00F47DBB"/>
    <w:rsid w:val="00F60A00"/>
    <w:rsid w:val="00F63924"/>
    <w:rsid w:val="00F70460"/>
    <w:rsid w:val="00F73DCA"/>
    <w:rsid w:val="00F75A7C"/>
    <w:rsid w:val="00F915A0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qFormat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qFormat/>
    <w:rsid w:val="005256E3"/>
  </w:style>
  <w:style w:type="paragraph" w:styleId="ac">
    <w:name w:val="No Spacing"/>
    <w:uiPriority w:val="1"/>
    <w:qFormat/>
    <w:rsid w:val="00CB110D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paragraph" w:customStyle="1" w:styleId="richfactdown-paragraph">
    <w:name w:val="richfactdown-paragraph"/>
    <w:basedOn w:val="a"/>
    <w:rsid w:val="0097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722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dcterms:created xsi:type="dcterms:W3CDTF">2022-08-06T07:34:00Z</dcterms:created>
  <dcterms:modified xsi:type="dcterms:W3CDTF">2024-09-03T15:35:00Z</dcterms:modified>
</cp:coreProperties>
</file>