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НИЦИПАЛЬНОЕ ОБЩЕОБРАЗОВАТЕЛЬНОЕ БЮДЖЕТНОЕ УЧРЕЖДЕНИЕ "СУЗАНОВСКАЯ СРЕДНЯЯ ОБЩЕОБРАЗОВАТЕЛЬНАЯ ШКОЛА" НОВОСЕРГИЕВСКОГО РАЙОНА ОРЕНБУРГСКОЙ ОБЛАСТИ</w:t>
      </w: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2046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«УТВЕРЖДАЮ»</w:t>
      </w:r>
    </w:p>
    <w:p w:rsidR="00B82099" w:rsidRDefault="002046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</w:t>
      </w:r>
    </w:p>
    <w:p w:rsidR="00B82099" w:rsidRDefault="00B8209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82099" w:rsidRDefault="0029291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«01» сентября 2024</w:t>
      </w:r>
      <w:r w:rsidR="002046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года</w:t>
      </w: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Рабочая программа внеурочной деятельности</w:t>
      </w: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(социальное направление)</w:t>
      </w: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Основы финансовой грамотности</w:t>
      </w: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10-11 классы</w:t>
      </w: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сроки реализации</w:t>
      </w:r>
    </w:p>
    <w:p w:rsidR="00B82099" w:rsidRDefault="002929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2024 - 2025</w:t>
      </w:r>
      <w:r w:rsidR="002046A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гг.</w:t>
      </w: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ab/>
      </w: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ab/>
      </w: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Пахарь Елена Ивановна</w:t>
      </w: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учитель истории, обществознания и права</w:t>
      </w: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высшей квалификационной категории </w:t>
      </w: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82099" w:rsidRDefault="002046A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Принята на школьном </w:t>
      </w:r>
    </w:p>
    <w:p w:rsidR="00B82099" w:rsidRDefault="002046A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методическом объединении</w:t>
      </w:r>
    </w:p>
    <w:p w:rsidR="00B82099" w:rsidRDefault="002046A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учителей общественного цикла</w:t>
      </w:r>
    </w:p>
    <w:p w:rsidR="00B82099" w:rsidRDefault="0029291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Протокол № 1</w:t>
      </w:r>
    </w:p>
    <w:p w:rsidR="00B82099" w:rsidRDefault="0029291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«30» августа 2024</w:t>
      </w:r>
      <w:r w:rsidR="002046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г.</w:t>
      </w: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</w:t>
      </w: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2929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2024</w:t>
      </w:r>
      <w:r w:rsidR="002046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</w:t>
      </w: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204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lastRenderedPageBreak/>
        <w:t>Пояснительная записка</w:t>
      </w:r>
    </w:p>
    <w:p w:rsidR="00B82099" w:rsidRDefault="002046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Рабочая программа элективного курса составлена </w:t>
      </w:r>
      <w:r>
        <w:rPr>
          <w:rFonts w:ascii="Times New Roman" w:eastAsia="Calibri" w:hAnsi="Times New Roman" w:cs="Times New Roman"/>
          <w:sz w:val="24"/>
          <w:szCs w:val="24"/>
        </w:rPr>
        <w:t>на основе авторской  программы «Финансовая грамотность» (</w:t>
      </w:r>
      <w:r>
        <w:rPr>
          <w:rFonts w:ascii="Times New Roman" w:hAnsi="Times New Roman" w:cs="Times New Roman"/>
          <w:sz w:val="24"/>
          <w:szCs w:val="24"/>
        </w:rPr>
        <w:t xml:space="preserve">Финансовая грамотность: учебная программа. 10–11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 Ю. Завьялов.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М.: ВИТА-ПРЕСС, 2018)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соответствии со следующими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нормативно-правовыми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документами:</w:t>
      </w:r>
    </w:p>
    <w:p w:rsidR="00B82099" w:rsidRDefault="002046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---   Федеральный закон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</w:p>
    <w:p w:rsidR="00B82099" w:rsidRDefault="002046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--- Концепция Национальной программы повышения уровня финансовой грамотности населения Российской Федерации,</w:t>
      </w:r>
    </w:p>
    <w:p w:rsidR="00B82099" w:rsidRDefault="002046A7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---  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B82099" w:rsidRDefault="002046A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sz w:val="24"/>
          <w:szCs w:val="24"/>
        </w:rPr>
        <w:t>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учебному плану МОБУ «Сузановская СОШ».</w:t>
      </w:r>
    </w:p>
    <w:p w:rsidR="00B82099" w:rsidRDefault="002046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«Финансовая грамотность» является:</w:t>
      </w:r>
    </w:p>
    <w:p w:rsidR="00B82099" w:rsidRDefault="002046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10-11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B82099" w:rsidRDefault="002046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099" w:rsidRDefault="002046A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объема информации об инструментах финансового и фондового рынка, распространяемой на территории Российской Федерации;</w:t>
      </w:r>
    </w:p>
    <w:p w:rsidR="00B82099" w:rsidRDefault="002046A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информационных систем финансового рынка и механизмов защиты прав потребителей финансовых услуг;</w:t>
      </w:r>
    </w:p>
    <w:p w:rsidR="00B82099" w:rsidRDefault="002046A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:rsidR="00B82099" w:rsidRDefault="002046A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для принятия компетентных, правильных финансовых решений</w:t>
      </w:r>
    </w:p>
    <w:p w:rsidR="00B82099" w:rsidRDefault="002046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:rsidR="00B82099" w:rsidRDefault="002046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рассчитана на учащихся 10-11 классов и составлена с учётом психологических особенностей подростков. Школьники 16-18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</w:p>
    <w:p w:rsidR="00B82099" w:rsidRDefault="002046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повышения финансовой грамотности школьников 10-11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B82099" w:rsidRDefault="002046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B82099" w:rsidRDefault="00B8209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099" w:rsidRDefault="002046A7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B82099" w:rsidRDefault="002046A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изучения финансовой грамотности ученик должен</w:t>
      </w:r>
    </w:p>
    <w:p w:rsidR="00B82099" w:rsidRDefault="002046A7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82099" w:rsidRDefault="002046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основные понятия и инструменты взаимодействия с участниками финансовых отношений;</w:t>
      </w:r>
    </w:p>
    <w:p w:rsidR="00B82099" w:rsidRDefault="002046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основные принципы принятия оптимальных финансовых решений в процессе своей жизнедеятельности</w:t>
      </w:r>
    </w:p>
    <w:p w:rsidR="00B82099" w:rsidRDefault="00204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 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предложений.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 </w:t>
      </w:r>
    </w:p>
    <w:p w:rsidR="00B82099" w:rsidRDefault="00204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 в повседневной жизни: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оптимальный вид инвестирования средств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использованиембанков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рассчитывать собственную долговую нагрузку, подбирать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оптимальныйвид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кредитования, знать свои права и порядок их защиты, сравнивать различные варианты вложения денежных средств в банке.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работы на фондовом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рынке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нейтрализация основных рисков, связанных с работой на фондовом рынке. 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свои отношения с налоговыми органами,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своевременнореагировать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изменения в налоговом законодательстве. 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нужность и важность процедуры страхования,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проводитьсравнение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условийстрахования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:rsidR="00B82099" w:rsidRDefault="00204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B82099" w:rsidRDefault="00204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собственными пенсионными накоплениями, выбор оптимального направления инвестирования накопительной части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будущейпенсии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выбор негосударственного пенсионного фонда с точки зрения надёжности и доходности. </w:t>
      </w:r>
    </w:p>
    <w:p w:rsidR="00B82099" w:rsidRDefault="002046A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</w:p>
    <w:p w:rsidR="00B82099" w:rsidRDefault="002046A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B82099" w:rsidRDefault="002046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B82099" w:rsidRDefault="002046A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Понятие банковской систем</w:t>
      </w:r>
      <w:r>
        <w:rPr>
          <w:rFonts w:ascii="Times New Roman" w:hAnsi="Times New Roman"/>
        </w:rPr>
        <w:t>ы, коммерческий банк. Центральный банк РФ.</w:t>
      </w: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</w:rPr>
        <w:t>Банки Челябинской области.</w:t>
      </w:r>
      <w:r>
        <w:rPr>
          <w:rFonts w:ascii="Times New Roman" w:hAnsi="Times New Roman"/>
          <w:lang w:eastAsia="ru-RU"/>
        </w:rPr>
        <w:t xml:space="preserve"> Виды депозитов, порядок начисления простых и сложных процентов, порядок возмещения вкладов, основные параметры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lang w:eastAsia="ru-RU"/>
        </w:rPr>
        <w:t>епозита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eastAsia="ru-RU"/>
        </w:rPr>
        <w:t xml:space="preserve"> Кредит, кредитная история, процент, виды кредитов, параметры выбора необходимого вида кредита.</w:t>
      </w:r>
      <w:r>
        <w:rPr>
          <w:rFonts w:ascii="Times New Roman" w:hAnsi="Times New Roman"/>
        </w:rPr>
        <w:t xml:space="preserve"> А</w:t>
      </w:r>
      <w:r>
        <w:rPr>
          <w:rFonts w:ascii="Times New Roman" w:hAnsi="Times New Roman"/>
          <w:lang w:eastAsia="ru-RU"/>
        </w:rPr>
        <w:t>вто</w:t>
      </w:r>
      <w:r>
        <w:rPr>
          <w:rFonts w:ascii="Times New Roman" w:hAnsi="Times New Roman"/>
        </w:rPr>
        <w:t>кредитование, потребительское кредитование. Ипотечный кредит. Ипотечное кредитование в Челябинской области.</w:t>
      </w:r>
    </w:p>
    <w:p w:rsidR="00B82099" w:rsidRDefault="002046A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Понятие фондового рынка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lang w:eastAsia="ru-RU"/>
        </w:rPr>
        <w:t>иды ценных бумаг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eastAsia="ru-RU"/>
        </w:rPr>
        <w:t xml:space="preserve"> акция, облигация, вексель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eastAsia="ru-RU"/>
        </w:rPr>
        <w:t xml:space="preserve"> Разновидности паевых инвестиционных фондов, отличия паевых инвестиционных фондов от общих фондов банковского управления.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lang w:eastAsia="ru-RU"/>
        </w:rPr>
        <w:t>иды профессиональных участников ценных бумаг</w:t>
      </w:r>
      <w:r>
        <w:rPr>
          <w:rFonts w:ascii="Times New Roman" w:hAnsi="Times New Roman"/>
        </w:rPr>
        <w:t>. Т</w:t>
      </w:r>
      <w:r>
        <w:rPr>
          <w:rFonts w:ascii="Times New Roman" w:hAnsi="Times New Roman"/>
          <w:lang w:eastAsia="ru-RU"/>
        </w:rPr>
        <w:t>ипы валютных сделок.</w:t>
      </w:r>
    </w:p>
    <w:p w:rsidR="00B82099" w:rsidRDefault="002046A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Налоговая система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Виды налогов</w:t>
      </w:r>
      <w:r>
        <w:rPr>
          <w:rFonts w:ascii="Times New Roman" w:hAnsi="Times New Roman"/>
          <w:lang w:eastAsia="ru-RU"/>
        </w:rPr>
        <w:t>, пошлины, сборы</w:t>
      </w:r>
      <w:r>
        <w:rPr>
          <w:rFonts w:ascii="Times New Roman" w:hAnsi="Times New Roman"/>
        </w:rPr>
        <w:t>. Налоговая система РФ.</w:t>
      </w:r>
      <w:r>
        <w:rPr>
          <w:rFonts w:ascii="Times New Roman" w:hAnsi="Times New Roman"/>
          <w:lang w:eastAsia="ru-RU"/>
        </w:rPr>
        <w:t xml:space="preserve"> Основания взимания налогов с граждан.</w:t>
      </w:r>
      <w:r>
        <w:rPr>
          <w:rFonts w:ascii="Times New Roman" w:hAnsi="Times New Roman"/>
        </w:rPr>
        <w:t xml:space="preserve"> Н</w:t>
      </w:r>
      <w:r>
        <w:rPr>
          <w:rFonts w:ascii="Times New Roman" w:hAnsi="Times New Roman"/>
          <w:lang w:eastAsia="ru-RU"/>
        </w:rPr>
        <w:t>алоговая декларация.</w:t>
      </w:r>
    </w:p>
    <w:p w:rsidR="00B82099" w:rsidRDefault="002046A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" w:name="Par4845"/>
      <w:bookmarkEnd w:id="1"/>
      <w:r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</w:rPr>
        <w:t xml:space="preserve">ИНН </w:t>
      </w:r>
      <w:r>
        <w:rPr>
          <w:rFonts w:ascii="Times New Roman" w:hAnsi="Times New Roman"/>
          <w:lang w:eastAsia="ru-RU"/>
        </w:rPr>
        <w:t xml:space="preserve">и порядок его получения    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lang w:eastAsia="ru-RU"/>
        </w:rPr>
        <w:t>лучаев и способов получения налоговых вычетов.</w:t>
      </w:r>
    </w:p>
    <w:p w:rsidR="00B82099" w:rsidRDefault="002046A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:rsidR="00B82099" w:rsidRDefault="002046A7">
      <w:pPr>
        <w:pStyle w:val="ConsPlusNormal"/>
        <w:tabs>
          <w:tab w:val="left" w:pos="426"/>
        </w:tabs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Страховые компании РФ и Челябинской области.</w:t>
      </w:r>
    </w:p>
    <w:p w:rsidR="00B82099" w:rsidRDefault="00B82099">
      <w:pPr>
        <w:pStyle w:val="ConsPlusNormal"/>
        <w:tabs>
          <w:tab w:val="left" w:pos="426"/>
        </w:tabs>
        <w:jc w:val="both"/>
        <w:outlineLvl w:val="5"/>
        <w:rPr>
          <w:rFonts w:ascii="Times New Roman" w:eastAsia="Calibri" w:hAnsi="Times New Roman" w:cs="Times New Roman"/>
          <w:sz w:val="22"/>
          <w:szCs w:val="22"/>
        </w:rPr>
      </w:pPr>
    </w:p>
    <w:p w:rsidR="00B82099" w:rsidRDefault="002046A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</w:p>
    <w:p w:rsidR="00B82099" w:rsidRDefault="002046A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B82099" w:rsidRDefault="002046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B82099" w:rsidRDefault="002046A7">
      <w:pPr>
        <w:pStyle w:val="ConsPlusNormal"/>
        <w:tabs>
          <w:tab w:val="left" w:pos="426"/>
        </w:tabs>
        <w:ind w:firstLine="284"/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малого и среднего бизнеса. Порядок формирования уставного капитала, структура доходов и расходов. Структура доходов и расходов, порядок расчёта прибыли, необходимость и назначение бухгалтерского учёта. Функции маркетинга и менеджмента в работе предприятия. Профессии в сфере бизнеса. Подготовка специалистов в ВУЗах. Порядок расчёта и уплаты налогов в малом и среднем бизнесе, определение рисков и их снижение. Предприятия малого и среднего бизнеса Челябинской области.</w:t>
      </w:r>
    </w:p>
    <w:p w:rsidR="00B82099" w:rsidRDefault="002046A7">
      <w:pPr>
        <w:pStyle w:val="ConsPlusNormal"/>
        <w:tabs>
          <w:tab w:val="left" w:pos="426"/>
        </w:tabs>
        <w:ind w:firstLine="284"/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Инвестиции, инвестирование. Инвестиционный портфель, стратегия инвестирования. Инвестиционный инструмент, диверсификация инвестиционного портфеля. Финансовый риск,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доходность. Финансовая пирамида, признаки финансовой пирамиды. </w:t>
      </w:r>
      <w:proofErr w:type="spellStart"/>
      <w:r>
        <w:rPr>
          <w:rFonts w:ascii="Times New Roman" w:hAnsi="Times New Roman" w:cs="Times New Roman"/>
          <w:sz w:val="22"/>
          <w:szCs w:val="22"/>
        </w:rPr>
        <w:t>Хайп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фишинг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фарминг</w:t>
      </w:r>
      <w:proofErr w:type="spellEnd"/>
      <w:r>
        <w:rPr>
          <w:rFonts w:ascii="Times New Roman" w:hAnsi="Times New Roman" w:cs="Times New Roman"/>
          <w:sz w:val="22"/>
          <w:szCs w:val="22"/>
        </w:rPr>
        <w:t>.  Виды рисков при осуществлении финансовых операций. Способы защиты от финансовых мошенничеств,</w:t>
      </w:r>
    </w:p>
    <w:p w:rsidR="00B82099" w:rsidRDefault="002046A7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eastAsia="ru-RU"/>
        </w:rPr>
        <w:t>Пенсия, пенсионная система. История развития пенсионной  системы России. Пенсионный фонд, управляющая компания. Негосударственное пенсионное обеспечение.</w:t>
      </w:r>
      <w:r>
        <w:rPr>
          <w:rFonts w:ascii="Times New Roman" w:hAnsi="Times New Roman"/>
        </w:rPr>
        <w:t xml:space="preserve"> Негосударственные пенсионные фонды РФ и Челябинской области.</w:t>
      </w:r>
      <w:r>
        <w:rPr>
          <w:rFonts w:ascii="Times New Roman" w:hAnsi="Times New Roman"/>
          <w:lang w:eastAsia="ru-RU"/>
        </w:rPr>
        <w:t xml:space="preserve"> Способы финансового обеспечения в старости, основания получения пенсии по старост</w:t>
      </w:r>
      <w:r>
        <w:rPr>
          <w:rFonts w:ascii="Times New Roman" w:hAnsi="Times New Roman"/>
        </w:rPr>
        <w:t>и. Программы</w:t>
      </w:r>
      <w:r>
        <w:rPr>
          <w:rFonts w:ascii="Times New Roman" w:hAnsi="Times New Roman"/>
          <w:lang w:eastAsia="ru-RU"/>
        </w:rPr>
        <w:t xml:space="preserve"> пенсионного обеспечения. Льготные пенсии в РФ.</w:t>
      </w:r>
    </w:p>
    <w:p w:rsidR="00B82099" w:rsidRDefault="002046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элективного курса:</w:t>
      </w:r>
    </w:p>
    <w:p w:rsidR="00B82099" w:rsidRDefault="002046A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29291B">
        <w:rPr>
          <w:rFonts w:ascii="Times New Roman" w:hAnsi="Times New Roman" w:cs="Times New Roman"/>
          <w:sz w:val="24"/>
          <w:szCs w:val="24"/>
        </w:rPr>
        <w:t xml:space="preserve"> для 10-11 классов  рассчитана на 34 учебных часов</w:t>
      </w:r>
    </w:p>
    <w:p w:rsidR="00B82099" w:rsidRDefault="002046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ТЕМАТИЧЕСКОЕ ПЛАНИРОВАНИЕ</w:t>
      </w:r>
    </w:p>
    <w:p w:rsidR="00B82099" w:rsidRDefault="002046A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757E41">
        <w:rPr>
          <w:rFonts w:ascii="Times New Roman" w:hAnsi="Times New Roman"/>
          <w:b/>
        </w:rPr>
        <w:t>-11</w:t>
      </w:r>
      <w:r>
        <w:rPr>
          <w:rFonts w:ascii="Times New Roman" w:hAnsi="Times New Roman"/>
          <w:b/>
        </w:rPr>
        <w:t xml:space="preserve">  класс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661"/>
        <w:gridCol w:w="7770"/>
        <w:gridCol w:w="1481"/>
      </w:tblGrid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№ п./п.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Темы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Количество часов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банковской системы, коммерческий банк. Центральный банк РФ.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9291B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Виды депозитов, порядок начисления простых и сложных процентов, порядок возмещения вкладов, основные параметры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епозита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Кредит, кредитная история, процент, виды кредитов, параметры выбора необходимого вида кредита.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Автокредитование, потребительское кредитование.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Ипотечный кредит.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Ипотечное кре</w:t>
            </w:r>
            <w:r w:rsidR="0029291B">
              <w:rPr>
                <w:rFonts w:ascii="Times New Roman" w:hAnsi="Times New Roman" w:cs="Times New Roman"/>
                <w:sz w:val="22"/>
                <w:szCs w:val="22"/>
              </w:rPr>
              <w:t>дитование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по теме «Банковская система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фондового рынка.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ценных бумаг: акция, облигация, вексель.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Разновидности паевых инвестиционных фондов, отличия паевых инвестиционных фондов от общих фондов банковского управления.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профессиональных участников ценных бумаг.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Типы валютных сделок.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по теме «Фондовый рынок»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Налоговая система.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налогов, пошлины, сборы.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Налоговая система РФ.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Основания взимания налогов с граждан.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алоговая декларация.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  <w:lang w:eastAsia="ru-RU"/>
              </w:rPr>
              <w:t>и порядок его получения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 и способов получения налоговых вычетов.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по теме «Налоговая система»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Страховой рынок, основные участники страхового рынка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Особенности развития страхового рынка в России.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Обязательное и добровольное страхование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Классификация страховых продуктов, условия осуществления различных видов страхования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Обязательное и добровольное страхование, франшиза, страховая сумма, страховая стоимость, страховая премия.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Страховой полис.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различных видов страхования, алгоритм действий при наступлении страховых случаев.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выбора страховой компании.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Страховые к</w:t>
            </w:r>
            <w:r w:rsidR="0029291B">
              <w:rPr>
                <w:rFonts w:ascii="Times New Roman" w:hAnsi="Times New Roman" w:cs="Times New Roman"/>
                <w:sz w:val="22"/>
                <w:szCs w:val="22"/>
              </w:rPr>
              <w:t xml:space="preserve">омпании РФ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rPr>
          <w:trHeight w:val="2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Итоговое обобщение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rPr>
          <w:trHeight w:val="2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презентаций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</w:tr>
      <w:tr w:rsidR="00B820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B8209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9" w:rsidRDefault="002046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34</w:t>
            </w:r>
          </w:p>
        </w:tc>
      </w:tr>
    </w:tbl>
    <w:p w:rsidR="00B82099" w:rsidRDefault="00B820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099" w:rsidRDefault="00B820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291B" w:rsidRDefault="002929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291B" w:rsidRDefault="002929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099" w:rsidRDefault="00B820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099" w:rsidRDefault="00B820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099" w:rsidRDefault="00B820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10-11  класс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658"/>
        <w:gridCol w:w="6756"/>
        <w:gridCol w:w="1465"/>
        <w:gridCol w:w="1259"/>
      </w:tblGrid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№ п./п.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Темы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Количество часов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дата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банковской системы, коммерческий банк. Центральный банк РФ.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02.09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09.09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Виды депозитов, порядок начисления простых и сложных процентов, порядок возмещения вкладов, основные параметры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епозита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16.09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Кредит, кредитная история, процент, виды кредитов, параметры выбора необходимого вида кредита.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23.09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Автокредитование, потребительское кредитование.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30.09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Ипотечный кредит.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07.10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Ипотечное кредитование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14.10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по теме «Банковская система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21.10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фондового рынка.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28.10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ценных бумаг: акция, облигация, вексель.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11.11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Разновидности паевых инвестиционных фондов, отличия паевых инвестиционных фондов от общих фондов банковского управления.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18.11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профессиональных участников ценных бумаг.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25.11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Типы валютных сделок.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02.12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по теме «Фондовый рынок»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09.12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Налоговая система.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16.12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налогов, пошлины, сборы.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23.12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Налоговая система РФ.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13.01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Основания взимания налогов с граждан.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20.01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алоговая декларация.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27.01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  <w:lang w:eastAsia="ru-RU"/>
              </w:rPr>
              <w:t>и порядок его получения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03.02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Случаев и способов получения налоговых вычетов.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10.02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по теме «Налоговая система»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17.02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Страховой рынок, основные участники страхового рынка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03.03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Особенности развития страхового рынка в России.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10.03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Обязательное и добровольное страхование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17.03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Классификация страховых продуктов, условия осуществления различных видов страхования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24.03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Обязательное и добровольное страхование, франшиза, страховая сумма, страховая стоимость, страховая премия.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07.04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Страховой полис.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14.04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различных видов страхования, алгоритм действий при наступлении страховых случаев.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21.04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выбора страховой компании.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28.04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Страховые компании РФ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05.05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12.05</w:t>
            </w:r>
          </w:p>
        </w:tc>
      </w:tr>
      <w:tr w:rsidR="00757E41" w:rsidTr="00757E41">
        <w:trPr>
          <w:trHeight w:val="2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Итоговое обобщение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19.05</w:t>
            </w:r>
          </w:p>
        </w:tc>
      </w:tr>
      <w:tr w:rsidR="00757E41" w:rsidTr="00757E41">
        <w:trPr>
          <w:trHeight w:val="2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pStyle w:val="ConsPlusNormal"/>
              <w:tabs>
                <w:tab w:val="left" w:pos="426"/>
              </w:tabs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презентаций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26.05</w:t>
            </w:r>
          </w:p>
        </w:tc>
      </w:tr>
      <w:tr w:rsidR="00757E41" w:rsidTr="00757E4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34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1" w:rsidRDefault="00757E41" w:rsidP="001C3E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</w:tbl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E41" w:rsidRDefault="00757E41" w:rsidP="00757E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099" w:rsidRDefault="00B82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82099" w:rsidRDefault="002046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и методы оценивания результатов обучения </w:t>
      </w:r>
    </w:p>
    <w:p w:rsidR="00B82099" w:rsidRDefault="002046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аттестации учащихся</w:t>
      </w:r>
    </w:p>
    <w:p w:rsidR="00B82099" w:rsidRDefault="00B820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099" w:rsidRDefault="00204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 элементом образовательной деятельности является контроль. Контроль знаний, умений и компетенций, которые были сформированы у учащегося, требует определённой системы мониторинга с выделением чётких критериев. Задача учителя – заранее ознакомить учащихся с критериями мониторинга их деятельности, что впоследствии позволит учащимся чётко осознавать цели и задачи, стоящие перед ними в процессе обучения, и выбирать оптимальные пути достижения поставленных целей и задач. В процессе преподавания курса «Финансовая грамотность» предполагается использование учителем таких видов контроля, как текущий и итоговый. </w:t>
      </w:r>
    </w:p>
    <w:p w:rsidR="00B82099" w:rsidRDefault="002046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результатов освоения курса «Финансовая грамотность» осуществляется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согласно критериям, выработанным совместно с учителем и учащимися. По итогам курса учащиеся защищают проекты.</w:t>
      </w:r>
    </w:p>
    <w:p w:rsidR="00B82099" w:rsidRDefault="002046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Поскольку в процессе обучения предполагается использование различных видов деятельности, то и система мониторинга должна строиться с учётом различий в этой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Сообразно с уровневым подходом к планируемым результатам, представленным в данной программе, оценивание образовательных достижений осуществляется на двух уровнях — базовом и  повышенном. При этом считается, что учащийся освоил программу «Финансовая грамотность» в случае, если он достиг базового уровня. </w:t>
      </w:r>
    </w:p>
    <w:p w:rsidR="00B82099" w:rsidRDefault="002046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итогового оценивания может быть сделан один из трёх выводов: </w:t>
      </w:r>
    </w:p>
    <w:p w:rsidR="00B82099" w:rsidRDefault="002046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сформированы на базовом уровне, программа освоена на базовом уровне (что соответствует планируемым результатам блока «Учащийся научится»);</w:t>
      </w:r>
    </w:p>
    <w:p w:rsidR="00B82099" w:rsidRDefault="002046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сформированы выше базового уровня, программа освоена на повышенном уровне (что соответствует планируемым результатам блока «Учащийся получит возможность научиться»);</w:t>
      </w:r>
    </w:p>
    <w:p w:rsidR="00B82099" w:rsidRDefault="002046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сформированы ниже базового уровня, программа не освоена.</w:t>
      </w:r>
    </w:p>
    <w:p w:rsidR="00B82099" w:rsidRDefault="00B82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099" w:rsidRDefault="002046A7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 обеспечение</w:t>
      </w:r>
    </w:p>
    <w:p w:rsidR="00B82099" w:rsidRDefault="002046A7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Брехова,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Завьялов. Материалы для учащихся. «Финансовая грамотность», 10 -11классы. – М.: «ВИТА Пресс», 2018</w:t>
      </w:r>
    </w:p>
    <w:p w:rsidR="00B82099" w:rsidRDefault="002046A7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Ю.Брехова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А.Алмосов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Д.Завьялов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КИМ «Финансовая грамотность», 10-11классы. – М.: «ВИТА Пресс», 2018</w:t>
      </w:r>
    </w:p>
    <w:p w:rsidR="00B82099" w:rsidRDefault="002046A7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Ю.Брехова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Завьялов. Учебная программа «Финансовая грамотность», 10 -11 классы. – М.: «ВИТА Пресс», 2018</w:t>
      </w:r>
    </w:p>
    <w:p w:rsidR="00B82099" w:rsidRDefault="002046A7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Брехова,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Завьялов. «Финансовая грамотность» методические материалы для учителя, 10-11 классы. – М.: «ВИТА Пресс», 2018.</w:t>
      </w:r>
    </w:p>
    <w:p w:rsidR="00B82099" w:rsidRDefault="002046A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Берзон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Основы финансовой экономики. Учебное пособие. 10-11классы М.: Вита-Пресс, 2011 г.</w:t>
      </w:r>
    </w:p>
    <w:p w:rsidR="00B82099" w:rsidRDefault="002046A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Горяев, В. Чумаченко Финансовая грамота М.: Юнайтед Пресс, 2012 г.</w:t>
      </w:r>
    </w:p>
    <w:p w:rsidR="00B82099" w:rsidRDefault="002046A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А.П. Архипов, Азбука страхования: Для 10-11 классов общеобразовательных учреждений  М.: Вита-Пресс, 2010 г. </w:t>
      </w:r>
    </w:p>
    <w:p w:rsidR="00B82099" w:rsidRDefault="002046A7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Савенок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Как составить личный финансовый план и как его реализовать М.: Манн, Иванов и Фербер, 2011 г.</w:t>
      </w:r>
    </w:p>
    <w:p w:rsidR="00B82099" w:rsidRDefault="002046A7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 обучения по основам финансовой грамотности (тексты к видео - лекциям) Москва 2015г.</w:t>
      </w:r>
    </w:p>
    <w:p w:rsidR="00B82099" w:rsidRDefault="002046A7">
      <w:pPr>
        <w:pStyle w:val="ab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Королёва,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Экономика. Учебное пособие 10-11 классы 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Граф», 2013г.</w:t>
      </w:r>
    </w:p>
    <w:p w:rsidR="00D60EA8" w:rsidRDefault="00D60EA8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099" w:rsidRDefault="002046A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 для ученика и учителя:</w:t>
      </w:r>
    </w:p>
    <w:p w:rsidR="00B82099" w:rsidRPr="00D60EA8" w:rsidRDefault="00400A22" w:rsidP="00D60EA8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>
        <w:r w:rsidR="002046A7" w:rsidRPr="00D60EA8">
          <w:rPr>
            <w:rFonts w:ascii="Times New Roman" w:hAnsi="Times New Roman" w:cs="Times New Roman"/>
            <w:sz w:val="24"/>
            <w:szCs w:val="24"/>
          </w:rPr>
          <w:t>www.nlu.ru</w:t>
        </w:r>
      </w:hyperlink>
    </w:p>
    <w:p w:rsidR="00B82099" w:rsidRPr="00D60EA8" w:rsidRDefault="00400A22" w:rsidP="00D60EA8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>
        <w:r w:rsidR="002046A7" w:rsidRPr="00D60EA8">
          <w:rPr>
            <w:rFonts w:ascii="Times New Roman" w:hAnsi="Times New Roman" w:cs="Times New Roman"/>
            <w:sz w:val="24"/>
            <w:szCs w:val="24"/>
          </w:rPr>
          <w:t>www.banki.ru</w:t>
        </w:r>
      </w:hyperlink>
    </w:p>
    <w:p w:rsidR="00B82099" w:rsidRPr="00D60EA8" w:rsidRDefault="00400A22" w:rsidP="00D60EA8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>
        <w:r w:rsidR="002046A7" w:rsidRPr="00D60EA8">
          <w:rPr>
            <w:rFonts w:ascii="Times New Roman" w:hAnsi="Times New Roman" w:cs="Times New Roman"/>
            <w:sz w:val="24"/>
            <w:szCs w:val="24"/>
          </w:rPr>
          <w:t>www.banki.ru</w:t>
        </w:r>
      </w:hyperlink>
    </w:p>
    <w:p w:rsidR="00B82099" w:rsidRPr="00D60EA8" w:rsidRDefault="00400A22" w:rsidP="00D60EA8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>
        <w:r w:rsidR="002046A7" w:rsidRPr="00D60EA8">
          <w:rPr>
            <w:rFonts w:ascii="Times New Roman" w:hAnsi="Times New Roman" w:cs="Times New Roman"/>
            <w:sz w:val="24"/>
            <w:szCs w:val="24"/>
          </w:rPr>
          <w:t>www.nalog.ru</w:t>
        </w:r>
      </w:hyperlink>
    </w:p>
    <w:p w:rsidR="00B82099" w:rsidRPr="00D60EA8" w:rsidRDefault="00D60EA8" w:rsidP="00D60EA8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>
        <w:r w:rsidR="002046A7" w:rsidRPr="00D60EA8">
          <w:rPr>
            <w:rFonts w:ascii="Times New Roman" w:hAnsi="Times New Roman" w:cs="Times New Roman"/>
            <w:sz w:val="24"/>
            <w:szCs w:val="24"/>
          </w:rPr>
          <w:t>www.prostrahovanie.ru</w:t>
        </w:r>
      </w:hyperlink>
    </w:p>
    <w:p w:rsidR="00B82099" w:rsidRDefault="00B82099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099" w:rsidRDefault="00B82099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099" w:rsidRDefault="00B82099">
      <w:pPr>
        <w:jc w:val="both"/>
        <w:rPr>
          <w:rFonts w:cstheme="minorHAnsi"/>
          <w:sz w:val="24"/>
          <w:szCs w:val="24"/>
        </w:rPr>
      </w:pPr>
    </w:p>
    <w:p w:rsidR="00B82099" w:rsidRDefault="00B82099">
      <w:pPr>
        <w:jc w:val="both"/>
        <w:rPr>
          <w:rFonts w:cstheme="minorHAnsi"/>
          <w:sz w:val="24"/>
          <w:szCs w:val="24"/>
        </w:rPr>
      </w:pPr>
    </w:p>
    <w:p w:rsidR="00B82099" w:rsidRDefault="00B82099" w:rsidP="0020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2099">
      <w:pgSz w:w="11906" w:h="16838"/>
      <w:pgMar w:top="568" w:right="850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6C8"/>
    <w:multiLevelType w:val="multilevel"/>
    <w:tmpl w:val="E55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175FC7"/>
    <w:multiLevelType w:val="multilevel"/>
    <w:tmpl w:val="5A20DFC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749564B"/>
    <w:multiLevelType w:val="multilevel"/>
    <w:tmpl w:val="803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640960"/>
    <w:multiLevelType w:val="multilevel"/>
    <w:tmpl w:val="C3867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99"/>
    <w:rsid w:val="002046A7"/>
    <w:rsid w:val="0029291B"/>
    <w:rsid w:val="00400A22"/>
    <w:rsid w:val="00757E41"/>
    <w:rsid w:val="00B82099"/>
    <w:rsid w:val="00D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qFormat/>
    <w:rsid w:val="0052332F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AA335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81B4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52332F"/>
  </w:style>
  <w:style w:type="paragraph" w:styleId="aa">
    <w:name w:val="Normal (Web)"/>
    <w:basedOn w:val="a"/>
    <w:uiPriority w:val="99"/>
    <w:unhideWhenUsed/>
    <w:qFormat/>
    <w:rsid w:val="008D0A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A335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581B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50CC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63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qFormat/>
    <w:rsid w:val="0052332F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AA335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81B4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52332F"/>
  </w:style>
  <w:style w:type="paragraph" w:styleId="aa">
    <w:name w:val="Normal (Web)"/>
    <w:basedOn w:val="a"/>
    <w:uiPriority w:val="99"/>
    <w:unhideWhenUsed/>
    <w:qFormat/>
    <w:rsid w:val="008D0A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A335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581B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50CC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63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l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lo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AEC4-5957-4BFA-ADBE-A337E09A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2022-03-10T08:50:00Z</cp:lastPrinted>
  <dcterms:created xsi:type="dcterms:W3CDTF">2024-11-01T06:56:00Z</dcterms:created>
  <dcterms:modified xsi:type="dcterms:W3CDTF">2024-11-01T06:56:00Z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